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4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4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Normal"/>
        <w:jc w:val="end"/>
        <w:rPr>
          <w:rFonts w:ascii="Arial" w:hAnsi="Arial" w:cs="Arial"/>
          <w:i/>
          <w:i/>
          <w:sz w:val="22"/>
          <w:szCs w:val="22"/>
        </w:rPr>
      </w:pPr>
      <w:r>
        <w:rPr>
          <w:rFonts w:cs="Arial" w:ascii="Arial" w:hAnsi="Arial"/>
          <w:i/>
          <w:sz w:val="22"/>
          <w:szCs w:val="22"/>
        </w:rPr>
      </w:r>
    </w:p>
    <w:p>
      <w:pPr>
        <w:pStyle w:val="Normal"/>
        <w:jc w:val="end"/>
        <w:rPr>
          <w:rFonts w:ascii="Arial" w:hAnsi="Arial" w:cs="Arial"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Heading1"/>
        <w:rPr>
          <w:rFonts w:ascii="Arial" w:hAnsi="Arial"/>
        </w:rPr>
      </w:pPr>
      <w:r>
        <w:rPr>
          <w:rFonts w:cs="Arial" w:ascii="Arial" w:hAnsi="Arial"/>
          <w:b/>
          <w:bCs/>
          <w:sz w:val="22"/>
          <w:szCs w:val="22"/>
        </w:rPr>
        <w:t>KARTA KURSU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981"/>
        <w:gridCol w:w="7659"/>
      </w:tblGrid>
      <w:tr>
        <w:trPr>
          <w:trHeight w:val="395" w:hRule="atLeast"/>
        </w:trPr>
        <w:tc>
          <w:tcPr>
            <w:tcW w:w="1981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Nazwa</w:t>
            </w:r>
          </w:p>
        </w:tc>
        <w:tc>
          <w:tcPr>
            <w:tcW w:w="7659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60" w:after="60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Literatura polska XIX wieku: paradygmat romantyczny </w:t>
            </w:r>
          </w:p>
        </w:tc>
      </w:tr>
      <w:tr>
        <w:trPr>
          <w:trHeight w:val="379" w:hRule="atLeast"/>
        </w:trPr>
        <w:tc>
          <w:tcPr>
            <w:tcW w:w="1981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Nazwa w j. ang.</w:t>
            </w:r>
          </w:p>
        </w:tc>
        <w:tc>
          <w:tcPr>
            <w:tcW w:w="7659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86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firstRow="0" w:noVBand="0" w:lastRow="0" w:firstColumn="0" w:lastColumn="0" w:noHBand="0" w:val="0000"/>
      </w:tblPr>
      <w:tblGrid>
        <w:gridCol w:w="3186"/>
        <w:gridCol w:w="3189"/>
        <w:gridCol w:w="3265"/>
      </w:tblGrid>
      <w:tr>
        <w:trPr>
          <w:cantSplit w:val="true"/>
        </w:trPr>
        <w:tc>
          <w:tcPr>
            <w:tcW w:w="3186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dr Monika Woźniak</w:t>
            </w:r>
          </w:p>
        </w:tc>
        <w:tc>
          <w:tcPr>
            <w:tcW w:w="3265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Zespół dydaktyczny</w:t>
            </w:r>
          </w:p>
        </w:tc>
      </w:tr>
      <w:tr>
        <w:trPr>
          <w:trHeight w:val="367" w:hRule="atLeast"/>
          <w:cantSplit w:val="true"/>
        </w:trPr>
        <w:tc>
          <w:tcPr>
            <w:tcW w:w="3186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189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265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Katedra </w:t>
            </w:r>
            <w:r>
              <w:rPr>
                <w:rFonts w:cs="Arial" w:ascii="Arial" w:hAnsi="Arial"/>
                <w:sz w:val="22"/>
                <w:szCs w:val="22"/>
              </w:rPr>
              <w:t>L</w:t>
            </w:r>
            <w:r>
              <w:rPr>
                <w:rFonts w:cs="Arial" w:ascii="Arial" w:hAnsi="Arial"/>
                <w:sz w:val="22"/>
                <w:szCs w:val="22"/>
              </w:rPr>
              <w:t xml:space="preserve">iteratury Nowoczesnej i Krytyki Literackiej </w:t>
            </w:r>
          </w:p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Zespół Dziewiętnastowieczność</w:t>
            </w:r>
          </w:p>
        </w:tc>
      </w:tr>
      <w:tr>
        <w:trPr>
          <w:trHeight w:val="57" w:hRule="atLeast"/>
          <w:cantSplit w:val="true"/>
        </w:trPr>
        <w:tc>
          <w:tcPr>
            <w:tcW w:w="3186" w:type="dxa"/>
            <w:tcBorders>
              <w:top w:val="single" w:sz="2" w:space="0" w:color="95B3D7"/>
              <w:bottom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189" w:type="dxa"/>
            <w:tcBorders>
              <w:top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3265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cantSplit w:val="true"/>
        </w:trPr>
        <w:tc>
          <w:tcPr>
            <w:tcW w:w="3186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Punktacja ECTS*</w:t>
            </w:r>
          </w:p>
        </w:tc>
        <w:tc>
          <w:tcPr>
            <w:tcW w:w="3189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4</w:t>
            </w:r>
          </w:p>
        </w:tc>
        <w:tc>
          <w:tcPr>
            <w:tcW w:w="3265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auto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Opis kursu (cele kształcenia)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40"/>
      </w:tblGrid>
      <w:tr>
        <w:trPr>
          <w:trHeight w:val="1365" w:hRule="atLeast"/>
        </w:trPr>
        <w:tc>
          <w:tcPr>
            <w:tcW w:w="964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16"/>
              </w:rPr>
              <w:t xml:space="preserve">Celem kursu jest pogłębienie wiedzy studentów z zakresu literatury polskiej XIX wieku z uwzględnieniem kontekstów (filozoficznego, estetycznego, historycznego etc.), na tle dzieł europejskich; </w:t>
            </w:r>
            <w:r>
              <w:rPr>
                <w:rFonts w:cs="Arial" w:ascii="Arial" w:hAnsi="Arial"/>
                <w:sz w:val="22"/>
                <w:szCs w:val="16"/>
              </w:rPr>
              <w:t>zwłaszcza w obszarze i</w:t>
            </w:r>
            <w:r>
              <w:rPr>
                <w:rFonts w:cs="Arial" w:ascii="Arial" w:hAnsi="Arial"/>
                <w:sz w:val="22"/>
                <w:szCs w:val="16"/>
              </w:rPr>
              <w:t xml:space="preserve">ntertekstualnych reinterpretacji tematów, wątków, konwencji znamiennych dla paradygmatu romantycznego. Istotnym celem jest też udoskonalenie sprawności analitycznych, syntetycznych </w:t>
            </w:r>
            <w:r>
              <w:rPr>
                <w:rFonts w:cs="Arial" w:ascii="Arial" w:hAnsi="Arial"/>
                <w:sz w:val="22"/>
                <w:szCs w:val="16"/>
              </w:rPr>
              <w:t>i</w:t>
            </w:r>
            <w:r>
              <w:rPr>
                <w:rFonts w:cs="Arial" w:ascii="Arial" w:hAnsi="Arial"/>
                <w:sz w:val="22"/>
                <w:szCs w:val="16"/>
              </w:rPr>
              <w:t xml:space="preserve"> umiejętności kontekstowej interpretacji utworów literackich przez studentów.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Warunki wstępne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86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firstRow="0" w:noVBand="0" w:lastRow="0" w:firstColumn="0" w:lastColumn="0" w:noHBand="0" w:val="0000"/>
      </w:tblPr>
      <w:tblGrid>
        <w:gridCol w:w="1937"/>
        <w:gridCol w:w="7703"/>
      </w:tblGrid>
      <w:tr>
        <w:trPr>
          <w:trHeight w:val="550" w:hRule="atLeast"/>
        </w:trPr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Wiedza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Z zakresu historii literatury XIX wieku 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577" w:hRule="atLeast"/>
        </w:trPr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Umiejętności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Student posiada umiejętność analizy i interpretacji tekstów literackich 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/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Kursy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Z zakresu historii literatury epok dawnych (studia lic., semestr 1, II stopnia) oraz romantyzmu, pozytywizmu i Młodej Polski (studia lic.)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Efekty uczenia się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979"/>
        <w:gridCol w:w="5296"/>
        <w:gridCol w:w="2365"/>
      </w:tblGrid>
      <w:tr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Odniesienie do efektów kierunkowych</w:t>
            </w:r>
          </w:p>
        </w:tc>
      </w:tr>
      <w:tr>
        <w:trPr>
          <w:trHeight w:val="1838" w:hRule="atLeast"/>
          <w:cantSplit w:val="true"/>
        </w:trPr>
        <w:tc>
          <w:tcPr>
            <w:tcW w:w="1979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29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W01 - zna twórczość, prądy, nurty znamienne dla paradygmatu romantycznego w XIX wieku</w:t>
            </w:r>
          </w:p>
          <w:p>
            <w:pPr>
              <w:pStyle w:val="BodyText"/>
              <w:spacing w:before="0" w:after="0"/>
              <w:ind w:start="19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W02 - zna  terminy i pojęcia z zakresu poetyki i teorii literatury o szczególnym znaczeniu dla literatury romantyzmu (np. synkretyzm rodzajowy i gatunkowy, ironia romantyczna, werteryzm, gotycyzm)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3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K_W01, K_W02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981"/>
        <w:gridCol w:w="5249"/>
        <w:gridCol w:w="2410"/>
      </w:tblGrid>
      <w:tr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Umiejętności</w:t>
            </w:r>
          </w:p>
        </w:tc>
        <w:tc>
          <w:tcPr>
            <w:tcW w:w="524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Odniesienie do efektów kierunkowych</w:t>
            </w:r>
          </w:p>
        </w:tc>
      </w:tr>
      <w:tr>
        <w:trPr>
          <w:trHeight w:val="2116" w:hRule="atLeast"/>
          <w:cantSplit w:val="true"/>
        </w:trPr>
        <w:tc>
          <w:tcPr>
            <w:tcW w:w="1981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U01 – potrafi rozróżnić kody różnych konwencji</w:t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U02 - potrafi analizować i interpretować utwory literackie i paraliterackie w różnych kontekstach kulturowych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K_U01, K_U02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981"/>
        <w:gridCol w:w="5249"/>
        <w:gridCol w:w="2410"/>
      </w:tblGrid>
      <w:tr>
        <w:trPr>
          <w:trHeight w:val="800" w:hRule="atLeast"/>
          <w:cantSplit w:val="true"/>
        </w:trPr>
        <w:tc>
          <w:tcPr>
            <w:tcW w:w="1981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Kompetencje społeczne</w:t>
            </w:r>
          </w:p>
        </w:tc>
        <w:tc>
          <w:tcPr>
            <w:tcW w:w="524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Odniesienie do efektów kierunkowych</w:t>
            </w:r>
          </w:p>
        </w:tc>
      </w:tr>
      <w:tr>
        <w:trPr>
          <w:trHeight w:val="1984" w:hRule="atLeast"/>
          <w:cantSplit w:val="true"/>
        </w:trPr>
        <w:tc>
          <w:tcPr>
            <w:tcW w:w="1981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24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K01 – potrafi dostrzec wkład epoki romantyzmu w polski dorobek kulturowy</w:t>
            </w:r>
          </w:p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K02 – potrafi wskazać związki dziedzictwa romantycznego z literaturą kolejnych epok (pozytywizmu i Młodej Polski)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241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K_K01, K_K02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607"/>
        <w:gridCol w:w="1229"/>
        <w:gridCol w:w="850"/>
        <w:gridCol w:w="272"/>
        <w:gridCol w:w="862"/>
        <w:gridCol w:w="315"/>
        <w:gridCol w:w="815"/>
        <w:gridCol w:w="288"/>
        <w:gridCol w:w="850"/>
        <w:gridCol w:w="280"/>
        <w:gridCol w:w="852"/>
        <w:gridCol w:w="286"/>
        <w:gridCol w:w="846"/>
        <w:gridCol w:w="288"/>
      </w:tblGrid>
      <w:tr>
        <w:trPr>
          <w:trHeight w:val="424" w:hRule="exact"/>
          <w:cantSplit w:val="true"/>
        </w:trPr>
        <w:tc>
          <w:tcPr>
            <w:tcW w:w="9640" w:type="dxa"/>
            <w:gridSpan w:val="14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ind w:start="45" w:end="13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Organizacja</w:t>
            </w:r>
          </w:p>
        </w:tc>
      </w:tr>
      <w:tr>
        <w:trPr>
          <w:trHeight w:val="654" w:hRule="atLeast"/>
          <w:cantSplit w:val="true"/>
        </w:trPr>
        <w:tc>
          <w:tcPr>
            <w:tcW w:w="1607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Forma zajęć</w:t>
            </w:r>
          </w:p>
        </w:tc>
        <w:tc>
          <w:tcPr>
            <w:tcW w:w="1229" w:type="dxa"/>
            <w:vMerge w:val="restart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Wykład</w:t>
            </w:r>
          </w:p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Ćwiczenia w grupach</w:t>
            </w:r>
          </w:p>
        </w:tc>
      </w:tr>
      <w:tr>
        <w:trPr>
          <w:trHeight w:val="477" w:hRule="atLeast"/>
          <w:cantSplit w:val="true"/>
        </w:trPr>
        <w:tc>
          <w:tcPr>
            <w:tcW w:w="1607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229" w:type="dxa"/>
            <w:vMerge w:val="continue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50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6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15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L</w:t>
            </w:r>
          </w:p>
        </w:tc>
        <w:tc>
          <w:tcPr>
            <w:tcW w:w="28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50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S</w:t>
            </w:r>
          </w:p>
        </w:tc>
        <w:tc>
          <w:tcPr>
            <w:tcW w:w="280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52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</w:t>
            </w:r>
          </w:p>
        </w:tc>
        <w:tc>
          <w:tcPr>
            <w:tcW w:w="286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846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</w:t>
            </w:r>
          </w:p>
        </w:tc>
        <w:tc>
          <w:tcPr>
            <w:tcW w:w="288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499" w:hRule="atLeast"/>
        </w:trPr>
        <w:tc>
          <w:tcPr>
            <w:tcW w:w="160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Liczba godzin</w:t>
            </w:r>
          </w:p>
        </w:tc>
        <w:tc>
          <w:tcPr>
            <w:tcW w:w="1229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12</w:t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77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24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0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8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tcMar>
              <w:top w:w="0" w:type="dxa"/>
              <w:start w:w="2" w:type="dxa"/>
              <w:bottom w:w="0" w:type="dxa"/>
              <w:end w:w="2" w:type="dxa"/>
            </w:tcMar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Opis metod prowadzenia zajęć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53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53"/>
      </w:tblGrid>
      <w:tr>
        <w:trPr>
          <w:trHeight w:val="810" w:hRule="atLeast"/>
        </w:trPr>
        <w:tc>
          <w:tcPr>
            <w:tcW w:w="9653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Zawartotabeliuser"/>
              <w:jc w:val="both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Wykład informacyjno-problemowy uwzględniający prezentację multimedialną (prezentacja malarstwa, fragmenty utworów). Ćwiczenia  o charakterze warsztatowo-treningowym z zastosowaniem następujących metod: praca z tekstem (analiza i interpretacja), dyskusja.</w:t>
            </w:r>
          </w:p>
        </w:tc>
      </w:tr>
    </w:tbl>
    <w:p>
      <w:pPr>
        <w:pStyle w:val="Zawartotabeliuser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Formy sprawdzania efektów uczenia się</w:t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1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2"/>
        <w:gridCol w:w="662"/>
        <w:gridCol w:w="666"/>
        <w:gridCol w:w="670"/>
        <w:gridCol w:w="666"/>
        <w:gridCol w:w="664"/>
        <w:gridCol w:w="664"/>
        <w:gridCol w:w="670"/>
        <w:gridCol w:w="666"/>
        <w:gridCol w:w="564"/>
        <w:gridCol w:w="765"/>
        <w:gridCol w:w="670"/>
        <w:gridCol w:w="666"/>
        <w:gridCol w:w="666"/>
      </w:tblGrid>
      <w:tr>
        <w:trPr>
          <w:trHeight w:val="1616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 – </w:t>
            </w:r>
            <w:r>
              <w:rPr>
                <w:rFonts w:cs="Arial" w:ascii="Arial" w:hAnsi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Gry dydaktyczne</w:t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Zajęcia terenowe</w:t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Praca laboratoryjna</w:t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Projekt indywidualny</w:t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Referat</w:t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Praca pisemna (esej)</w:t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textDirection w:val="btLr"/>
            <w:vAlign w:val="center"/>
          </w:tcPr>
          <w:p>
            <w:pPr>
              <w:pStyle w:val="Normal"/>
              <w:ind w:start="113" w:end="113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Inne</w:t>
            </w:r>
          </w:p>
        </w:tc>
      </w:tr>
      <w:tr>
        <w:trPr>
          <w:trHeight w:val="244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Tekstdymka1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W01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W02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44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U01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U02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44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K01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K02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259" w:hRule="atLeast"/>
          <w:cantSplit w:val="true"/>
        </w:trPr>
        <w:tc>
          <w:tcPr>
            <w:tcW w:w="9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...</w:t>
            </w:r>
          </w:p>
        </w:tc>
        <w:tc>
          <w:tcPr>
            <w:tcW w:w="66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765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FFFFFF" w:val="clear"/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Zawartotabelius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937"/>
        <w:gridCol w:w="7703"/>
      </w:tblGrid>
      <w:tr>
        <w:trPr/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Zawartotabeliuser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Kryteria oceny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</w:tcPr>
          <w:p>
            <w:pPr>
              <w:pStyle w:val="Zawartotabeliuser"/>
              <w:spacing w:before="57" w:after="57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 </w:t>
            </w:r>
          </w:p>
          <w:p>
            <w:pPr>
              <w:pStyle w:val="Zawartotabeliuser"/>
              <w:spacing w:before="57" w:after="57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Aktywne uczestnictwo w ćwiczeniach (znajomość analizowanych lektur, umiejętności interpretacyjne), egzamin ustny  </w:t>
            </w:r>
          </w:p>
          <w:p>
            <w:pPr>
              <w:pStyle w:val="Zawartotabeliuser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40" w:type="dxa"/>
        <w:jc w:val="start"/>
        <w:tblInd w:w="-114" w:type="dxa"/>
        <w:tblLayout w:type="fixed"/>
        <w:tblCellMar>
          <w:top w:w="28" w:type="dxa"/>
          <w:start w:w="28" w:type="dxa"/>
          <w:bottom w:w="28" w:type="dxa"/>
          <w:end w:w="28" w:type="dxa"/>
        </w:tblCellMar>
        <w:tblLook w:firstRow="0" w:noVBand="0" w:lastRow="0" w:firstColumn="0" w:lastColumn="0" w:noHBand="0" w:val="0000"/>
      </w:tblPr>
      <w:tblGrid>
        <w:gridCol w:w="1937"/>
        <w:gridCol w:w="7703"/>
      </w:tblGrid>
      <w:tr>
        <w:trPr>
          <w:trHeight w:val="1089" w:hRule="atLeast"/>
        </w:trPr>
        <w:tc>
          <w:tcPr>
            <w:tcW w:w="1937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  <w:shd w:color="auto" w:fill="DBE5F1" w:val="clear"/>
            <w:vAlign w:val="center"/>
          </w:tcPr>
          <w:p>
            <w:pPr>
              <w:pStyle w:val="Normal"/>
              <w:spacing w:before="0" w:after="57"/>
              <w:jc w:val="center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Uwagi</w:t>
            </w:r>
          </w:p>
        </w:tc>
        <w:tc>
          <w:tcPr>
            <w:tcW w:w="7703" w:type="dxa"/>
            <w:tcBorders>
              <w:top w:val="single" w:sz="2" w:space="0" w:color="95B3D7"/>
              <w:start w:val="single" w:sz="2" w:space="0" w:color="95B3D7"/>
              <w:bottom w:val="single" w:sz="2" w:space="0" w:color="95B3D7"/>
              <w:end w:val="single" w:sz="2" w:space="0" w:color="95B3D7"/>
            </w:tcBorders>
          </w:tcPr>
          <w:p>
            <w:pPr>
              <w:pStyle w:val="Zawartotabeliuser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/>
              <w:suppressAutoHyphens w:val="false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Obecność na wykładzie obowiązkowa /odczytywanie listy podczas zajęć/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Treści merytoryczne (wykaz tematów)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2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22"/>
      </w:tblGrid>
      <w:tr>
        <w:trPr>
          <w:trHeight w:val="1136" w:hRule="atLeast"/>
        </w:trPr>
        <w:tc>
          <w:tcPr>
            <w:tcW w:w="962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Paradygmat romantyczny; inspiracje, kontynuacje i dyskusje (pozytywizm, Młoda Polska).</w:t>
            </w:r>
          </w:p>
          <w:p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Mistyka, mrok i moc (związki literatury z filozofią i psychologią XIX wieku).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Czarny romantyzm, źródła zła, tajemnica istnienia; inspiracje nurtem w II połowie XIX wieku.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Gotycyzm, „ciemne drogi szaleństwa”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.</w:t>
            </w:r>
            <w:r>
              <w:rPr>
                <w:rFonts w:cs="Arial" w:ascii="Arial" w:hAnsi="Arial"/>
                <w:sz w:val="22"/>
                <w:szCs w:val="22"/>
              </w:rPr>
              <w:t xml:space="preserve"> </w:t>
            </w:r>
          </w:p>
          <w:p>
            <w:pPr>
              <w:pStyle w:val="Tekstdymka1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Motyw faustyczny w polskiej literaturze XIX wieku.</w:t>
            </w:r>
          </w:p>
          <w:p>
            <w:pPr>
              <w:pStyle w:val="Tekstdymka1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„</w:t>
            </w:r>
            <w:r>
              <w:rPr>
                <w:rFonts w:ascii="Arial" w:hAnsi="Arial"/>
                <w:sz w:val="22"/>
                <w:szCs w:val="22"/>
              </w:rPr>
              <w:t>Poeci wyklęci” – autokreacje i wizje, blaski i cienie psyche artysty.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„</w:t>
            </w:r>
            <w:r>
              <w:rPr>
                <w:rFonts w:cs="Arial" w:ascii="Arial" w:hAnsi="Arial"/>
                <w:sz w:val="22"/>
                <w:szCs w:val="22"/>
              </w:rPr>
              <w:t>Nagie dusze” - metamorfozy bohatera romantycznego, oblicza miłości i śmierci.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Natura – pejzaż – Tatry: artystyczne formy ujęcia doświadczenia.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Ludowość i chłopomania – przekształcenia motywu.</w:t>
            </w:r>
          </w:p>
          <w:p>
            <w:pPr>
              <w:pStyle w:val="Tekstdymka1"/>
              <w:rPr>
                <w:rFonts w:ascii="Arial" w:hAnsi="Arial"/>
              </w:rPr>
            </w:pPr>
            <w:r>
              <w:rPr>
                <w:rFonts w:cs="Arial" w:ascii="Arial" w:hAnsi="Arial"/>
                <w:sz w:val="22"/>
                <w:szCs w:val="22"/>
              </w:rPr>
              <w:t>Reinterpretacje mitu eleuzyjskiego, dionizyjskiego i prometejskiego w XIX wieku; ruina jako obraz (dziedzictwo antyku, poezja tyrtejska).</w:t>
            </w:r>
          </w:p>
          <w:p>
            <w:pPr>
              <w:pStyle w:val="Tekstdymka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Wykaz literatury podstawowej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489" w:type="dxa"/>
        <w:jc w:val="start"/>
        <w:tblInd w:w="61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489"/>
      </w:tblGrid>
      <w:tr>
        <w:trPr>
          <w:trHeight w:val="1098" w:hRule="atLeast"/>
        </w:trPr>
        <w:tc>
          <w:tcPr>
            <w:tcW w:w="9489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A. Asnyk,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 Tatrach</w:t>
            </w:r>
            <w:r>
              <w:rPr>
                <w:rFonts w:cs="Arial" w:ascii="Arial" w:hAnsi="Arial"/>
                <w:sz w:val="22"/>
                <w:szCs w:val="22"/>
              </w:rPr>
              <w:t xml:space="preserve"> [w:] A. Asnyk, Pisma, t.II, Warszawa 1924 (lub inne wydania).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Ch. Baudelaire,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 xml:space="preserve">Kwiaty zła </w:t>
            </w:r>
            <w:r>
              <w:rPr>
                <w:rFonts w:ascii="Arial" w:hAnsi="Arial"/>
                <w:i w:val="false"/>
                <w:iCs w:val="false"/>
                <w:sz w:val="22"/>
                <w:szCs w:val="22"/>
              </w:rPr>
              <w:t>(wybór wierszy).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E. Bronte,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Wichrowe wzgórza</w:t>
            </w:r>
            <w:r>
              <w:rPr>
                <w:rFonts w:cs="Arial" w:ascii="Arial" w:hAnsi="Arial"/>
                <w:sz w:val="22"/>
                <w:szCs w:val="22"/>
              </w:rPr>
              <w:t>, tłum. J. Sujkowska, Warszawa 1969 (lub inne wydania).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T. Coleridge,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Rymy o sędziwym marynarzu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I. Dąbrowski,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 xml:space="preserve">Śmierć. Studium </w:t>
            </w:r>
            <w:r>
              <w:rPr>
                <w:rFonts w:ascii="Arial" w:hAnsi="Arial"/>
                <w:sz w:val="22"/>
                <w:szCs w:val="22"/>
              </w:rPr>
              <w:t>(dowolne wydanie).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M. Gogol,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Pamiętnik wariata</w:t>
            </w:r>
            <w:r>
              <w:rPr>
                <w:rFonts w:cs="Arial" w:ascii="Arial" w:hAnsi="Arial"/>
                <w:sz w:val="22"/>
                <w:szCs w:val="22"/>
              </w:rPr>
              <w:t>, Warszawa 1992.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Goszczyński, </w:t>
            </w:r>
            <w:r>
              <w:rPr>
                <w:rFonts w:cs="Arial" w:ascii="Arial" w:hAnsi="Arial"/>
                <w:i/>
                <w:iCs/>
                <w:sz w:val="22"/>
                <w:szCs w:val="22"/>
                <w:u w:val="single"/>
              </w:rPr>
              <w:t>Zamek kaniowski</w:t>
            </w:r>
            <w:r>
              <w:rPr>
                <w:rFonts w:cs="Arial" w:ascii="Arial" w:hAnsi="Arial"/>
                <w:sz w:val="22"/>
                <w:szCs w:val="22"/>
              </w:rPr>
              <w:t xml:space="preserve">, wprow. H. Krukowska, Białystok 2002;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Król zamczyska</w:t>
            </w:r>
            <w:r>
              <w:rPr>
                <w:rFonts w:cs="Arial" w:ascii="Arial" w:hAnsi="Arial"/>
                <w:sz w:val="22"/>
                <w:szCs w:val="22"/>
              </w:rPr>
              <w:t xml:space="preserve">, oprac. M. Inglot, BN I III, Wrocław 1961,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Dziennik podróży do Tatrów</w:t>
            </w:r>
            <w:r>
              <w:rPr>
                <w:rFonts w:cs="Arial" w:ascii="Arial" w:hAnsi="Arial"/>
                <w:sz w:val="22"/>
                <w:szCs w:val="22"/>
              </w:rPr>
              <w:t>, Wrocław 1958 (fragmenty).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A. Kowalczykowa,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Pejzaż romantyczny</w:t>
            </w:r>
            <w:r>
              <w:rPr>
                <w:rFonts w:ascii="Arial" w:hAnsi="Arial"/>
                <w:sz w:val="22"/>
                <w:szCs w:val="22"/>
              </w:rPr>
              <w:t xml:space="preserve">, Kraków 1982 (antologia, wybrane utwory).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S. Liciński,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Z pamiętnika włóczęgi</w:t>
            </w:r>
            <w:r>
              <w:rPr>
                <w:rFonts w:ascii="Arial" w:hAnsi="Arial"/>
                <w:sz w:val="22"/>
                <w:szCs w:val="22"/>
              </w:rPr>
              <w:t xml:space="preserve">, Kraków 1978. 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T. Miciński,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Niedokonany</w:t>
            </w:r>
            <w:r>
              <w:rPr>
                <w:rFonts w:cs="Arial" w:ascii="Arial" w:hAnsi="Arial"/>
                <w:sz w:val="22"/>
                <w:szCs w:val="22"/>
              </w:rPr>
              <w:t>, Kraków 2023,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Xiądz Faust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wydanie).</w:t>
            </w:r>
          </w:p>
          <w:p>
            <w:pPr>
              <w:pStyle w:val="ListParagraph"/>
              <w:ind w:hanging="0" w:start="0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A. Mickiewicz,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Sonety odeskie</w:t>
            </w:r>
            <w:r>
              <w:rPr>
                <w:rFonts w:cs="Arial" w:ascii="Arial" w:hAnsi="Arial"/>
                <w:sz w:val="22"/>
                <w:szCs w:val="22"/>
              </w:rPr>
              <w:t xml:space="preserve">,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Wiersze</w:t>
            </w:r>
            <w:r>
              <w:rPr>
                <w:rFonts w:cs="Arial" w:ascii="Arial" w:hAnsi="Arial"/>
                <w:sz w:val="22"/>
                <w:szCs w:val="22"/>
              </w:rPr>
              <w:t xml:space="preserve">, Warszawa 1976. </w:t>
            </w:r>
          </w:p>
          <w:p>
            <w:pPr>
              <w:pStyle w:val="ListParagraph"/>
              <w:ind w:hanging="0" w:start="0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E.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Orzeszkowa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  <w:u w:val="single"/>
              </w:rPr>
              <w:t>Nad Niemnem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, Gloria victis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(dowolne wydania).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E. Poe,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Czarny kot</w:t>
            </w:r>
            <w:r>
              <w:rPr>
                <w:rFonts w:cs="Arial" w:ascii="Arial" w:hAnsi="Arial"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Portret owalny</w:t>
            </w:r>
            <w:r>
              <w:rPr>
                <w:rFonts w:cs="Arial" w:ascii="Arial" w:hAnsi="Arial"/>
                <w:sz w:val="22"/>
                <w:szCs w:val="22"/>
              </w:rPr>
              <w:t xml:space="preserve">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Opowieści niesamowite</w:t>
            </w:r>
            <w:r>
              <w:rPr>
                <w:rFonts w:cs="Arial" w:ascii="Arial" w:hAnsi="Arial"/>
                <w:sz w:val="22"/>
                <w:szCs w:val="22"/>
              </w:rPr>
              <w:t xml:space="preserve">, Wrocław 1999.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Przybyszewski,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Synagoga szatana</w:t>
            </w:r>
            <w:r>
              <w:rPr>
                <w:rFonts w:cs="Arial" w:ascii="Arial" w:hAnsi="Arial"/>
                <w:sz w:val="22"/>
                <w:szCs w:val="22"/>
              </w:rPr>
              <w:t xml:space="preserve">,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Synagoga szatana i inne eseje</w:t>
            </w:r>
            <w:r>
              <w:rPr>
                <w:rFonts w:cs="Arial" w:ascii="Arial" w:hAnsi="Arial"/>
                <w:sz w:val="22"/>
                <w:szCs w:val="22"/>
              </w:rPr>
              <w:t xml:space="preserve">, oprac. G. Matuszek, Kraków 1995,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Confiteor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W. Reymont,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Wampir</w:t>
            </w:r>
            <w:r>
              <w:rPr>
                <w:rFonts w:cs="Arial" w:ascii="Arial" w:hAnsi="Arial"/>
                <w:sz w:val="22"/>
                <w:szCs w:val="22"/>
              </w:rPr>
              <w:t xml:space="preserve">, Warszawa 1986.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J. Słowacki, </w:t>
            </w:r>
            <w:r>
              <w:rPr>
                <w:rFonts w:ascii="Arial" w:hAnsi="Arial"/>
                <w:i/>
                <w:iCs/>
                <w:sz w:val="22"/>
                <w:szCs w:val="22"/>
                <w:u w:val="single"/>
              </w:rPr>
              <w:t>Arab</w:t>
            </w:r>
            <w:r>
              <w:rPr>
                <w:rFonts w:ascii="Arial" w:hAnsi="Arial"/>
                <w:i/>
                <w:iCs/>
                <w:sz w:val="22"/>
                <w:szCs w:val="22"/>
              </w:rPr>
              <w:t>, Maria Stuart</w:t>
            </w:r>
            <w:r>
              <w:rPr>
                <w:rFonts w:ascii="Arial" w:hAnsi="Arial"/>
                <w:sz w:val="22"/>
                <w:szCs w:val="22"/>
              </w:rPr>
              <w:t xml:space="preserve"> [w:] Powieści poetyckie, oprac. M. Kridl, Wrocław 1949.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Wybór liryków - ruiny (m.in. J. Słowacki,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Rzym</w:t>
            </w:r>
            <w:r>
              <w:rPr>
                <w:rFonts w:cs="Arial" w:ascii="Arial" w:hAnsi="Arial"/>
                <w:sz w:val="22"/>
                <w:szCs w:val="22"/>
              </w:rPr>
              <w:t xml:space="preserve">, A. Asnyk,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 zatoce Baja</w:t>
            </w:r>
            <w:r>
              <w:rPr>
                <w:rFonts w:cs="Arial" w:ascii="Arial" w:hAnsi="Arial"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Na polach Kartagi</w:t>
            </w:r>
            <w:r>
              <w:rPr>
                <w:rFonts w:cs="Arial" w:ascii="Arial" w:hAnsi="Arial"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Taormina</w:t>
            </w:r>
            <w:r>
              <w:rPr>
                <w:rFonts w:cs="Arial" w:ascii="Arial" w:hAnsi="Arial"/>
                <w:sz w:val="22"/>
                <w:szCs w:val="22"/>
              </w:rPr>
              <w:t xml:space="preserve">; K. Przerwa-Tetmajer,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Świątynie w Paestum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Wybór liryków – Tatry (J. Kasprowicz, K. Przerwa Tetmajer, L. Staff).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H. Walpole,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Zamczysko w Otranto</w:t>
            </w:r>
            <w:r>
              <w:rPr>
                <w:rFonts w:cs="Arial" w:ascii="Arial" w:hAnsi="Arial"/>
                <w:sz w:val="22"/>
                <w:szCs w:val="22"/>
              </w:rPr>
              <w:t>, tłum. M. Przymanowska, Kraków 1976.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Wyspiański,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Powrót Odysa</w:t>
            </w:r>
            <w:r>
              <w:rPr>
                <w:rFonts w:cs="Arial" w:ascii="Arial" w:hAnsi="Arial"/>
                <w:sz w:val="22"/>
                <w:szCs w:val="22"/>
              </w:rPr>
              <w:t xml:space="preserve">,  [w:]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Achilleis</w:t>
            </w:r>
            <w:r>
              <w:rPr>
                <w:rFonts w:cs="Arial" w:ascii="Arial" w:hAnsi="Arial"/>
                <w:sz w:val="22"/>
                <w:szCs w:val="22"/>
              </w:rPr>
              <w:t xml:space="preserve">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Powrót Odysa</w:t>
            </w:r>
            <w:r>
              <w:rPr>
                <w:rFonts w:cs="Arial" w:ascii="Arial" w:hAnsi="Arial"/>
                <w:sz w:val="22"/>
                <w:szCs w:val="22"/>
              </w:rPr>
              <w:t>, oprac. J. Nowakowski,  Wrocław 1984,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22"/>
                <w:szCs w:val="22"/>
                <w:u w:val="single"/>
              </w:rPr>
              <w:t>Noc listopadowa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S. Żeromski,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Popioły </w:t>
            </w:r>
            <w:r>
              <w:rPr>
                <w:rFonts w:cs="Arial" w:ascii="Arial" w:hAnsi="Arial"/>
                <w:sz w:val="22"/>
                <w:szCs w:val="22"/>
              </w:rPr>
              <w:t>(dowolne wydanie).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N. Żmichowska, </w:t>
            </w:r>
            <w:r>
              <w:rPr>
                <w:rFonts w:cs="Arial" w:ascii="Arial" w:hAnsi="Arial"/>
                <w:i/>
                <w:iCs/>
                <w:sz w:val="22"/>
                <w:szCs w:val="22"/>
                <w:u w:val="single"/>
              </w:rPr>
              <w:t>Poganka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(dowolne wydanie).</w:t>
            </w:r>
          </w:p>
          <w:p>
            <w:pPr>
              <w:pStyle w:val="Normal"/>
              <w:rPr>
                <w:rFonts w:ascii="Arial" w:hAnsi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 xml:space="preserve">Teksty podkreślone były lekturami na studiach licencjackich, ich znajomość niezbędna będzie jednak także do zaliczenia tego kursu, podobnie jak orientowanie się w powiązanych z podanymi tu treściami merytorycznymi fragmentach z „Dziadów” i ballad A. Mickiewicza, „Kordiana” J. Słowackiego, „Nie-boskiej komedii” Z. Krasińskiego, „Wesela” St. Wyspiańskiego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i „Ludzi bezdomnych” St. Żeromskiego.</w:t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Opracowania: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T. Sobieraj,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Kulturowy model dziewiętnastowieczności</w:t>
            </w:r>
            <w:r>
              <w:rPr>
                <w:rFonts w:cs="Arial" w:ascii="Arial" w:hAnsi="Arial"/>
                <w:sz w:val="22"/>
                <w:szCs w:val="22"/>
              </w:rPr>
              <w:t xml:space="preserve">, „Wiek XIX” 2008.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A. Kowalczykowa,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Ciemne drogi szaleństwa</w:t>
            </w:r>
            <w:r>
              <w:rPr>
                <w:rFonts w:cs="Arial" w:ascii="Arial" w:hAnsi="Arial"/>
                <w:sz w:val="22"/>
                <w:szCs w:val="22"/>
              </w:rPr>
              <w:t xml:space="preserve">, Kraków 1978. 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G. Królikiewicz,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Terytorium ruin. Ruina jako obraz i temat romantyczny,Kraków 1993.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E. Wojciechowska,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Ciało upiora. O polskiej noweli fantastycznej epoki romantyzmu (1822-1863)</w:t>
            </w:r>
            <w:r>
              <w:rPr>
                <w:rFonts w:cs="Arial" w:ascii="Arial" w:hAnsi="Arial"/>
                <w:sz w:val="22"/>
                <w:szCs w:val="22"/>
              </w:rPr>
              <w:t xml:space="preserve">, Warszawa 2022.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Trzynaście arcydzieł romantycznych</w:t>
            </w:r>
            <w:r>
              <w:rPr>
                <w:rFonts w:cs="Arial" w:ascii="Arial" w:hAnsi="Arial"/>
                <w:sz w:val="22"/>
                <w:szCs w:val="22"/>
              </w:rPr>
              <w:t xml:space="preserve">, pod red. M. Kiślak, E. Gumkowskiego, Warszawa 1996.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J. Lyszczyna,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Wykłady z romantyzmu</w:t>
            </w:r>
            <w:r>
              <w:rPr>
                <w:rFonts w:cs="Arial" w:ascii="Arial" w:hAnsi="Arial"/>
                <w:sz w:val="22"/>
                <w:szCs w:val="22"/>
              </w:rPr>
              <w:t xml:space="preserve">, Katowice 2019.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J. Ławski,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„Bo na tym świecie. Śmierć”. Studia o czarnym romantyzmie</w:t>
            </w:r>
            <w:r>
              <w:rPr>
                <w:rFonts w:cs="Arial" w:ascii="Arial" w:hAnsi="Arial"/>
                <w:sz w:val="22"/>
                <w:szCs w:val="22"/>
              </w:rPr>
              <w:t xml:space="preserve">, Gdańsk 2008. </w:t>
            </w:r>
          </w:p>
          <w:p>
            <w:pPr>
              <w:pStyle w:val="Normal"/>
              <w:widowControl/>
              <w:suppressAutoHyphens w:val="false"/>
              <w:spacing w:lineRule="auto" w:line="259" w:before="0" w:after="160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i/>
                <w:iCs/>
                <w:sz w:val="22"/>
                <w:szCs w:val="22"/>
                <w:lang w:eastAsia="en-US"/>
              </w:rPr>
              <w:t>Mity śródziemnomorza w kulturze XIX i XX wieku</w:t>
            </w: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, Białystok 2008.</w:t>
            </w:r>
          </w:p>
          <w:p>
            <w:pPr>
              <w:pStyle w:val="Normal"/>
              <w:rPr>
                <w:rFonts w:ascii="Arial" w:hAnsi="Arial" w:cs="Arial"/>
                <w:i/>
                <w:i/>
                <w:iCs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Wykaz literatury uzupełniającej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622" w:type="dxa"/>
        <w:jc w:val="start"/>
        <w:tblInd w:w="-72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9622"/>
      </w:tblGrid>
      <w:tr>
        <w:trPr>
          <w:trHeight w:val="1112" w:hRule="atLeast"/>
        </w:trPr>
        <w:tc>
          <w:tcPr>
            <w:tcW w:w="9622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</w:tcPr>
          <w:p>
            <w:pPr>
              <w:pStyle w:val="Normal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G. Byron,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Giaur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J.W. Goethe,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Faust</w:t>
            </w:r>
            <w:r>
              <w:rPr>
                <w:rFonts w:cs="Arial" w:ascii="Arial" w:hAnsi="Arial"/>
                <w:sz w:val="22"/>
                <w:szCs w:val="22"/>
              </w:rPr>
              <w:t xml:space="preserve"> (dowolne wydanie)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M.G. Lewis, Mnich, przeł. Z. Sinko, Warszawa 2016.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Z. Krasiński,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Agaj Han</w:t>
            </w:r>
            <w:r>
              <w:rPr>
                <w:rFonts w:cs="Arial" w:ascii="Arial" w:hAnsi="Arial"/>
                <w:sz w:val="22"/>
                <w:szCs w:val="22"/>
              </w:rPr>
              <w:t xml:space="preserve">,  Kraków 2002;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Przedświt</w:t>
            </w:r>
            <w:r>
              <w:rPr>
                <w:rFonts w:cs="Arial" w:ascii="Arial" w:hAnsi="Arial"/>
                <w:sz w:val="22"/>
                <w:szCs w:val="22"/>
              </w:rPr>
              <w:t>, Kraków 1945.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A. Mickiewicz,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Grażyna</w:t>
            </w:r>
            <w:r>
              <w:rPr>
                <w:rFonts w:cs="Arial" w:ascii="Arial" w:hAnsi="Arial"/>
                <w:sz w:val="22"/>
                <w:szCs w:val="22"/>
              </w:rPr>
              <w:t xml:space="preserve">, [w:] tenże,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Grażyna. Konrad Wallenrod</w:t>
            </w:r>
            <w:r>
              <w:rPr>
                <w:rFonts w:cs="Arial" w:ascii="Arial" w:hAnsi="Arial"/>
                <w:sz w:val="22"/>
                <w:szCs w:val="22"/>
              </w:rPr>
              <w:t xml:space="preserve">, Wrocław 1991.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E. Poe,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Poezje, tłum. P. Marszałek,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Poznań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1996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 xml:space="preserve">(lub: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Kruk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, przeł. St. Barańczak)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 xml:space="preserve">J. Słowacki, Lambro, Ksiądz Marek </w:t>
            </w:r>
            <w:r>
              <w:rPr>
                <w:rFonts w:cs="Arial" w:ascii="Arial" w:hAnsi="Arial"/>
                <w:i w:val="false"/>
                <w:iCs w:val="false"/>
                <w:sz w:val="22"/>
                <w:szCs w:val="22"/>
              </w:rPr>
              <w:t>(dowolne wydania)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ind w:start="360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Opracowania: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Edgar Allan Poe artysta i wizjoner</w:t>
            </w:r>
            <w:r>
              <w:rPr>
                <w:rFonts w:cs="Arial" w:ascii="Arial" w:hAnsi="Arial"/>
                <w:sz w:val="22"/>
                <w:szCs w:val="22"/>
              </w:rPr>
              <w:t>, pod red. S. Studniarza, Olsztyn 2013.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i/>
                <w:iCs/>
                <w:sz w:val="22"/>
                <w:szCs w:val="22"/>
              </w:rPr>
              <w:t>Klasyk grozy i perwersji – i nie tylko…, Edgar Allan Poe. W dwusetną rocznicę urodzin pisarza i sto sześćdziesiątą rocznicę śmierci,</w:t>
            </w:r>
            <w:r>
              <w:rPr>
                <w:rFonts w:cs="Arial" w:ascii="Arial" w:hAnsi="Arial"/>
                <w:sz w:val="22"/>
                <w:szCs w:val="22"/>
              </w:rPr>
              <w:t xml:space="preserve"> , red. E. Kasperski, Ż. Nalewajk, Warszawa 2009.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J. Lyszczyna, </w:t>
            </w:r>
            <w:r>
              <w:rPr>
                <w:rFonts w:cs="Arial" w:ascii="Arial" w:hAnsi="Arial"/>
                <w:i/>
                <w:iCs/>
                <w:sz w:val="22"/>
                <w:szCs w:val="22"/>
              </w:rPr>
              <w:t>Natura. Historia, egzystencja. W poszukiwaniu romantycznego uniwersum</w:t>
            </w:r>
            <w:r>
              <w:rPr>
                <w:rFonts w:cs="Arial" w:ascii="Arial" w:hAnsi="Arial"/>
                <w:sz w:val="22"/>
                <w:szCs w:val="22"/>
              </w:rPr>
              <w:t xml:space="preserve">, Katowice 2011. </w:t>
            </w:r>
          </w:p>
          <w:p>
            <w:pPr>
              <w:pStyle w:val="Normal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Calibri" w:cs="Arial" w:ascii="Arial" w:hAnsi="Arial"/>
                <w:i/>
                <w:iCs/>
                <w:sz w:val="22"/>
                <w:szCs w:val="22"/>
                <w:lang w:eastAsia="en-US"/>
              </w:rPr>
              <w:t>Słownik literatury polskiej XIX wieku</w:t>
            </w: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, red. J. Bachórz i A. Kowalczykowa, Wrocław 1991</w:t>
            </w:r>
          </w:p>
          <w:p>
            <w:pPr>
              <w:pStyle w:val="Normal"/>
              <w:widowControl/>
              <w:suppressAutoHyphens w:val="false"/>
              <w:spacing w:lineRule="auto" w:line="259" w:before="0" w:after="160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Calibri" w:cs="Arial" w:ascii="Arial" w:hAnsi="Arial"/>
                <w:i/>
                <w:iCs/>
                <w:sz w:val="22"/>
                <w:szCs w:val="22"/>
                <w:lang w:eastAsia="en-US"/>
              </w:rPr>
              <w:t>Walka romantyków z klasykami</w:t>
            </w: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 xml:space="preserve">, oprac. S. Kawyn, BN  S. I 183, Wrocław 1963. Ateny. Rzym. Bizancjum.  </w:t>
            </w:r>
          </w:p>
        </w:tc>
      </w:tr>
    </w:tbl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Tekstdymka1"/>
        <w:rPr>
          <w:rFonts w:ascii="Arial" w:hAnsi="Arial"/>
        </w:rPr>
      </w:pPr>
      <w:r>
        <w:rPr>
          <w:rFonts w:cs="Arial" w:ascii="Arial" w:hAnsi="Arial"/>
          <w:sz w:val="22"/>
          <w:szCs w:val="22"/>
        </w:rPr>
        <w:t>Bilans godzinowy zgodny z CNPS (Całkowity Nakład Pracy Studenta)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tbl>
      <w:tblPr>
        <w:tblW w:w="958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766"/>
        <w:gridCol w:w="5746"/>
        <w:gridCol w:w="1070"/>
      </w:tblGrid>
      <w:tr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12</w:t>
            </w:r>
          </w:p>
        </w:tc>
      </w:tr>
      <w:tr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24</w:t>
            </w:r>
          </w:p>
        </w:tc>
      </w:tr>
      <w:tr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4</w:t>
            </w:r>
          </w:p>
        </w:tc>
      </w:tr>
      <w:tr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35</w:t>
            </w:r>
          </w:p>
        </w:tc>
      </w:tr>
      <w:tr>
        <w:trPr>
          <w:trHeight w:val="710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</w:tr>
      <w:tr>
        <w:trPr>
          <w:trHeight w:val="731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</w:tr>
      <w:tr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</w:r>
          </w:p>
        </w:tc>
        <w:tc>
          <w:tcPr>
            <w:tcW w:w="5746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25</w:t>
            </w:r>
          </w:p>
        </w:tc>
      </w:tr>
      <w:tr>
        <w:trPr>
          <w:trHeight w:val="365" w:hRule="atLeast"/>
        </w:trPr>
        <w:tc>
          <w:tcPr>
            <w:tcW w:w="8512" w:type="dxa"/>
            <w:gridSpan w:val="2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100</w:t>
            </w:r>
          </w:p>
        </w:tc>
      </w:tr>
      <w:tr>
        <w:trPr>
          <w:trHeight w:val="392" w:hRule="atLeast"/>
        </w:trPr>
        <w:tc>
          <w:tcPr>
            <w:tcW w:w="8512" w:type="dxa"/>
            <w:gridSpan w:val="2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shd w:color="auto" w:fill="DBE5F1" w:val="clear"/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center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70" w:type="dxa"/>
            <w:tcBorders>
              <w:top w:val="single" w:sz="4" w:space="0" w:color="95B3D7"/>
              <w:start w:val="single" w:sz="4" w:space="0" w:color="95B3D7"/>
              <w:bottom w:val="single" w:sz="4" w:space="0" w:color="95B3D7"/>
              <w:end w:val="single" w:sz="4" w:space="0" w:color="95B3D7"/>
            </w:tcBorders>
            <w:vAlign w:val="center"/>
          </w:tcPr>
          <w:p>
            <w:pPr>
              <w:pStyle w:val="Normal"/>
              <w:widowControl/>
              <w:spacing w:lineRule="auto" w:line="276"/>
              <w:ind w:start="360"/>
              <w:jc w:val="both"/>
              <w:rPr>
                <w:rFonts w:ascii="Arial" w:hAnsi="Arial"/>
              </w:rPr>
            </w:pPr>
            <w:r>
              <w:rPr>
                <w:rFonts w:eastAsia="Calibri" w:cs="Arial" w:ascii="Arial" w:hAnsi="Arial"/>
                <w:sz w:val="22"/>
                <w:szCs w:val="22"/>
                <w:lang w:eastAsia="en-US"/>
              </w:rPr>
              <w:t>4</w:t>
            </w:r>
          </w:p>
        </w:tc>
      </w:tr>
    </w:tbl>
    <w:p>
      <w:pPr>
        <w:pStyle w:val="Tekstdymka1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454" w:top="1276" w:footer="709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Verdana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0"/>
      <w:jc w:val="end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0"/>
      <w:jc w:val="end"/>
      <w:rPr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user" w:customStyle="1">
    <w:name w:val="Znaki numeracji (user)"/>
    <w:qFormat/>
    <w:rPr/>
  </w:style>
  <w:style w:type="character" w:styleId="PageNumber">
    <w:name w:val="page number"/>
    <w:semiHidden/>
    <w:rPr>
      <w:sz w:val="14"/>
      <w:szCs w:val="14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semiHidden/>
    <w:qFormat/>
    <w:rsid w:val="009026ff"/>
    <w:rPr/>
  </w:style>
  <w:style w:type="character" w:styleId="TematkomentarzaZnak" w:customStyle="1">
    <w:name w:val="Temat komentarza Znak"/>
    <w:link w:val="annotationsubject"/>
    <w:uiPriority w:val="99"/>
    <w:semiHidden/>
    <w:qFormat/>
    <w:rsid w:val="009026ff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semiHidden/>
    <w:pPr>
      <w:spacing w:before="0" w:after="120"/>
    </w:pPr>
    <w:rPr/>
  </w:style>
  <w:style w:type="paragraph" w:styleId="List">
    <w:name w:val="List"/>
    <w:basedOn w:val="BodyText"/>
    <w:semiHidden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Noto Sans Devanagari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/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semiHidden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awartotabeliuser" w:customStyle="1">
    <w:name w:val="Zawartość tabeli (user)"/>
    <w:basedOn w:val="Normal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  <w:i/>
      <w:iCs/>
    </w:rPr>
  </w:style>
  <w:style w:type="paragraph" w:styleId="Zawartoramkiuser" w:customStyle="1">
    <w:name w:val="Zawartość ramki (user)"/>
    <w:basedOn w:val="BodyText"/>
    <w:qFormat/>
    <w:pPr/>
    <w:rPr/>
  </w:style>
  <w:style w:type="paragraph" w:styleId="CommentText">
    <w:name w:val="annotation text"/>
    <w:basedOn w:val="Normal"/>
    <w:link w:val="TekstkomentarzaZnak"/>
    <w:semiHidden/>
    <w:pPr/>
    <w:rPr>
      <w:sz w:val="20"/>
      <w:szCs w:val="20"/>
    </w:rPr>
  </w:style>
  <w:style w:type="paragraph" w:styleId="Tematkomentarza1" w:customStyle="1">
    <w:name w:val="Temat komentarza1"/>
    <w:basedOn w:val="CommentText"/>
    <w:next w:val="CommentText"/>
    <w:qFormat/>
    <w:pPr/>
    <w:rPr>
      <w:b/>
      <w:bCs/>
    </w:rPr>
  </w:style>
  <w:style w:type="paragraph" w:styleId="Tekstdymka1" w:customStyle="1">
    <w:name w:val="Tekst dymka1"/>
    <w:basedOn w:val="Normal"/>
    <w:qFormat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026ff"/>
    <w:pPr/>
    <w:rPr>
      <w:b/>
      <w:bCs/>
    </w:rPr>
  </w:style>
  <w:style w:type="paragraph" w:styleId="ListParagraph">
    <w:name w:val="List Paragraph"/>
    <w:basedOn w:val="Normal"/>
    <w:uiPriority w:val="34"/>
    <w:qFormat/>
    <w:rsid w:val="00bb487c"/>
    <w:pPr>
      <w:spacing w:before="0" w:after="0"/>
      <w:ind w:start="720"/>
      <w:contextualSpacing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6" ma:contentTypeDescription="Utwórz nowy dokument." ma:contentTypeScope="" ma:versionID="48ecfa423eac7a825ede6021c6edb6e0">
  <xsd:schema xmlns:xsd="http://www.w3.org/2001/XMLSchema" xmlns:xs="http://www.w3.org/2001/XMLSchema" xmlns:p="http://schemas.microsoft.com/office/2006/metadata/properties" xmlns:ns2="8c29c5d2-85d2-43b4-af98-e7119c4ac7cc" targetNamespace="http://schemas.microsoft.com/office/2006/metadata/properties" ma:root="true" ma:fieldsID="4fdc5da1dc74f5ee901dc0e55e250a23" ns2:_="">
    <xsd:import namespace="8c29c5d2-85d2-43b4-af98-e7119c4ac7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0FC1E4-8C10-46BA-90DB-8CBB4068B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C8C32-5B9C-47E9-9A6C-75B444372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3ED823-0C6F-441D-AE05-FA8B132E51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LibreOffice/25.8.3.2$Windows_X86_64 LibreOffice_project/8ca8d55c161d602844f5428fa4b58097424e324e</Application>
  <AppVersion>15.0000</AppVersion>
  <Pages>5</Pages>
  <Words>1062</Words>
  <Characters>6874</Characters>
  <CharactersWithSpaces>7813</CharactersWithSpaces>
  <Paragraphs>173</Paragraphs>
  <Company>Akademia Pedagogiczna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2024-03-05T13:21:00Z</dcterms:created>
  <dc:creator>Barbara Wilk</dc:creator>
  <dc:description/>
  <dc:language>en-GB</dc:language>
  <cp:lastModifiedBy/>
  <cp:lastPrinted>2012-01-27T07:28:00Z</cp:lastPrinted>
  <dcterms:modified xsi:type="dcterms:W3CDTF">2026-03-05T15:37:45Z</dcterms:modified>
  <cp:revision>10</cp:revision>
  <dc:subject/>
  <dc:title>KARTA KURSU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